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3.jpeg" ContentType="image/jpeg"/>
  <Override PartName="/word/media/image4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tabs>
          <w:tab w:leader="none" w:pos="5954" w:val="left"/>
        </w:tabs>
        <w:suppressAutoHyphens w:val="true"/>
        <w:spacing w:after="0" w:before="0" w:line="100" w:lineRule="atLeast"/>
        <w:jc w:val="center"/>
      </w:pPr>
      <w:r>
        <w:rPr/>
        <w:drawing>
          <wp:inline distB="0" distL="0" distR="0" distT="0">
            <wp:extent cx="485775" cy="571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</w:r>
    </w:p>
    <w:p>
      <w:pPr>
        <w:pStyle w:val="style0"/>
        <w:widowControl w:val="false"/>
        <w:tabs>
          <w:tab w:leader="none" w:pos="255" w:val="left"/>
          <w:tab w:leader="none" w:pos="4677" w:val="center"/>
        </w:tabs>
        <w:suppressAutoHyphens w:val="tru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14.11.2013 года                 г. Санкт-Петербург                                 № 8/6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Р Е Ш Е Н И 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</w:r>
    </w:p>
    <w:p>
      <w:pPr>
        <w:pStyle w:val="style0"/>
        <w:shd w:fill="FFFFFF" w:val="clear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 представляемых местной администрацией внутригородского муниципального образования 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</w:p>
    <w:p>
      <w:pPr>
        <w:pStyle w:val="style0"/>
        <w:widowControl w:val="false"/>
        <w:shd w:fill="FFFFFF" w:val="clear"/>
        <w:spacing w:after="0" w:before="5" w:line="100" w:lineRule="atLeast"/>
        <w:ind w:firstLine="708" w:left="0" w:right="0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27.07.2010 № 210-ФЗ «Об организации предоставления государственных и муниципальных услуг», Постановления Правительства Санкт-Петербурга от 24.12.2012 г. № 1366 «Об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Санкт-Петербурге», Постановления Правительства Санкт-Петербурга от 18.06.2013г. № 419 «О внесении изменений в постановления Правительства Санкт-Петербурга от 30.12.2009 г. № 1593, от 24.12.2012 г. № 1366», муниципальный совет внутригородского муниципального образования Санкт-Петербурга муниципального округа Парнас,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РЕШИЛ: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1. Утвердить перечень муниципальных услуг, предоставляемых местной администрацией внутригородского муниципального образования                   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Санкт-Петербурге, согласно Приложению.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2. Решение муниципального совета муниципального образования муниципальный округ Парнас от 22.06.2012г. № 6/1 признать утратившим силу.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в день его официального опубликования. </w:t>
      </w:r>
    </w:p>
    <w:p>
      <w:pPr>
        <w:pStyle w:val="style0"/>
        <w:widowControl w:val="false"/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4. Контроль за исполнением настоящего решения возложить на главу местной администрации внутригородского муниципального образования</w:t>
      </w:r>
      <w:r>
        <w:rPr>
          <w:rFonts w:ascii="Times New Roman" w:cs="Times New Roman" w:eastAsia="Times New Roman" w:hAnsi="Times New Roman"/>
          <w:bCs/>
          <w:color w:val="000000"/>
          <w:spacing w:val="-19"/>
          <w:sz w:val="29"/>
          <w:szCs w:val="29"/>
          <w:lang w:eastAsia="ru-RU"/>
        </w:rPr>
        <w:t xml:space="preserve"> Санкт-Петербурга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муниципального округа Парнас.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Глава муниципального образования                                           А.В.Черезов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Приложение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к решению муниципального совета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Санкт-Петербурга муниципального округа Парнас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 14.11.2013 года № 8/6</w:t>
      </w:r>
    </w:p>
    <w:p>
      <w:pPr>
        <w:pStyle w:val="style0"/>
        <w:widowControl w:val="false"/>
        <w:spacing w:after="0" w:before="0" w:line="100" w:lineRule="atLeast"/>
        <w:jc w:val="righ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Перечень муниципальных услуг, представляемых 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местной администрацией внутригородского муниципального образования Санкт-Петербурга муниципального округа Парнас по принципу одного окна в многофункциональных центрах предоставления муниципальных услуг в Санкт-Петербурге</w:t>
      </w:r>
    </w:p>
    <w:p>
      <w:pPr>
        <w:pStyle w:val="style0"/>
        <w:widowControl w:val="fals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Регистрация трудового договора, заключаемого работником с работодателем - физическим лицом, не являющимся индивидуальным предпринимателем.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Регистрация факта прекращения трудового договора, заключаемого работником с работодателем - физическим лицом, не являющимся индивидуальным предпринимателем.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Выдача архивных справок, выписок, копий архивных документов органов местного самоуправления.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Консультирование потребителей по вопросам защиты прав потребителей.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Выдача религиозным группам подтверждений существования на территории муниципального образования.</w:t>
      </w:r>
    </w:p>
    <w:p>
      <w:pPr>
        <w:pStyle w:val="style0"/>
        <w:widowControl w:val="false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Выдача разрешения на вступление в брак лицам, достигшим возраста 16-ти лет.</w:t>
      </w:r>
    </w:p>
    <w:p>
      <w:pPr>
        <w:pStyle w:val="style0"/>
        <w:widowControl w:val="false"/>
        <w:spacing w:after="0" w:before="0" w:line="100" w:lineRule="atLeast"/>
        <w:ind w:hanging="0" w:left="720" w:right="0"/>
        <w:jc w:val="both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widowControl w:val="false"/>
        <w:shd w:fill="FFFFFF" w:val="clear"/>
        <w:spacing w:after="0" w:before="0" w:line="100" w:lineRule="atLeast"/>
        <w:ind w:hanging="0" w:left="386" w:right="0"/>
        <w:jc w:val="right"/>
      </w:pPr>
      <w:r>
        <w:rPr>
          <w:rFonts w:ascii="Times New Roman" w:cs="Times New Roman" w:eastAsia="Times New Roman" w:hAnsi="Times New Roman"/>
          <w:color w:val="000000"/>
          <w:spacing w:val="-3"/>
          <w:sz w:val="24"/>
          <w:szCs w:val="24"/>
          <w:lang w:eastAsia="ru-RU"/>
        </w:rPr>
      </w:r>
    </w:p>
    <w:p>
      <w:pPr>
        <w:pStyle w:val="style0"/>
        <w:widowControl w:val="false"/>
        <w:spacing w:after="0" w:before="0" w:line="100" w:lineRule="atLeast"/>
      </w:pPr>
      <w:r>
        <w:rPr>
          <w:rFonts w:ascii="Times New Roman" w:cs="Times New Roman" w:eastAsia="Times New Roman" w:hAnsi="Times New Roman"/>
          <w:sz w:val="20"/>
          <w:szCs w:val="20"/>
          <w:lang w:eastAsia="ru-RU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nextPage"/>
          <w:pgSz w:h="16838" w:w="11906"/>
          <w:pgMar w:bottom="567" w:footer="0" w:gutter="0" w:header="0" w:left="1701" w:right="567" w:top="1134"/>
          <w:pgNumType w:fmt="decimal"/>
          <w:formProt w:val="false"/>
          <w:textDirection w:val="lrTb"/>
          <w:docGrid w:charSpace="4096" w:linePitch="360" w:type="default"/>
        </w:sectPr>
        <w:pStyle w:val="style0"/>
      </w:pPr>
      <w:r>
        <w:rPr/>
      </w:r>
    </w:p>
    <w:p>
      <w:pPr>
        <w:pStyle w:val="style0"/>
        <w:widowControl w:val="false"/>
        <w:tabs>
          <w:tab w:leader="none" w:pos="5954" w:val="left"/>
        </w:tabs>
        <w:suppressAutoHyphens w:val="true"/>
        <w:spacing w:after="0" w:before="0" w:line="100" w:lineRule="atLeast"/>
        <w:jc w:val="center"/>
      </w:pPr>
      <w:r>
        <w:rPr/>
        <w:drawing>
          <wp:inline distB="0" distL="0" distR="0" distT="0">
            <wp:extent cx="485775" cy="57150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  <w:lang w:eastAsia="ar-SA"/>
        </w:rPr>
        <w:t>МУНИЦИПАЛЬНЫЙ  СОВЕТ  ВНУТРИГОРОДСКОГО  МУНИЦИПАЛЬНОГО ОБРАЗОВАНИЯ  САНКТ-ПЕТЕРБУРГА  МУНИЦИПАЛЬНОГО  ОКРУГА  ПАРНАС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sz w:val="20"/>
          <w:szCs w:val="20"/>
          <w:lang w:eastAsia="ar-SA"/>
        </w:rPr>
      </w:r>
    </w:p>
    <w:p>
      <w:pPr>
        <w:pStyle w:val="style0"/>
        <w:widowControl w:val="false"/>
        <w:tabs>
          <w:tab w:leader="none" w:pos="255" w:val="left"/>
          <w:tab w:leader="none" w:pos="4677" w:val="center"/>
        </w:tabs>
        <w:suppressAutoHyphens w:val="true"/>
        <w:spacing w:after="0" w:before="0" w:line="360" w:lineRule="auto"/>
        <w:jc w:val="center"/>
      </w:pPr>
      <w:r>
        <w:rPr>
          <w:rFonts w:ascii="Times New Roman" w:cs="Times New Roman" w:eastAsia="Times New Roman" w:hAnsi="Times New Roman"/>
          <w:sz w:val="28"/>
          <w:szCs w:val="28"/>
          <w:lang w:eastAsia="ar-SA"/>
        </w:rPr>
        <w:t>14.11.2013 года                 г. Санкт-Петербург                                 № 8/7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  <w:t>Р Е Ш Е Н И Е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ar-SA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Bookman Old Style" w:eastAsia="SimSun" w:hAnsi="Times New Roman"/>
          <w:sz w:val="28"/>
          <w:szCs w:val="28"/>
          <w:lang w:bidi="hi-IN" w:eastAsia="zh-CN"/>
        </w:rPr>
        <w:t>О принятии в первом чтении проекта местного бюджета внутригородского муниципального образования Санкт-Петербурга муниципального округа Парнас на 2014 год и плановый период  2015-2016 годов и назначении публичных слушаний.</w:t>
      </w:r>
    </w:p>
    <w:p>
      <w:pPr>
        <w:pStyle w:val="style0"/>
        <w:widowControl w:val="false"/>
        <w:suppressAutoHyphens w:val="true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ar-SA"/>
        </w:rPr>
      </w:r>
    </w:p>
    <w:p>
      <w:pPr>
        <w:pStyle w:val="style0"/>
        <w:spacing w:after="0" w:before="0" w:line="100" w:lineRule="atLeast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    </w:t>
      </w:r>
      <w:r>
        <w:rPr>
          <w:rFonts w:ascii="Times New Roman" w:cs="Times New Roman" w:hAnsi="Times New Roman"/>
          <w:sz w:val="28"/>
          <w:szCs w:val="28"/>
        </w:rPr>
        <w:t>В соответствии с пп.2 п.1 ст.24 Устава внутригородского муниципального образования Санкт-Петербурга муниципального округа Парнас, муниципальный совет внутригородского муниципального образования Санкт-Петербурга муниципального округа Парнас,</w:t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ind w:firstLine="284" w:left="0" w:right="0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РЕШИЛ: 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 общий объем доходов внутригородского муниципального образования Санкт-Петербурга  муниципального округа Парнас: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2014 год в сумме 99064,3 тыс.руб. из них объем межбюджетных трансфертов, получаемых из бюджета Санкт-Петербурга – 13411,6 тыс.руб.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2015 год в сумме 102427,2 тыс.руб. из них объем межбюджетных трансфертов, получаемых из бюджета Санкт-Петербурга – 14088,1 тыс.руб.</w:t>
      </w:r>
    </w:p>
    <w:p>
      <w:pPr>
        <w:pStyle w:val="style24"/>
        <w:numPr>
          <w:ilvl w:val="0"/>
          <w:numId w:val="2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2016 год в сумме 107361,9 тыс.руб. из них объем межбюджетных трансфертов, получаемых из бюджета Санкт-Петербурга – 14792,0 тыс.руб.</w:t>
      </w:r>
    </w:p>
    <w:p>
      <w:pPr>
        <w:pStyle w:val="style24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 общий объем расходов внутригородского муниципального образования Санкт-Петербурга  муниципального округа Парнас: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2014 год в сумме 99064,3 тыс.руб.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2015 год в сумме 102427,2 тыс.руб.</w:t>
      </w:r>
    </w:p>
    <w:p>
      <w:pPr>
        <w:pStyle w:val="style24"/>
        <w:numPr>
          <w:ilvl w:val="0"/>
          <w:numId w:val="3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2016 год в сумме 107361,9 тыс.руб.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размер дефицита бюджета внутригородского муниципального образования Санкт-Петербурга  муниципального округа Парнас    на 2014 год в сумме 0,0 тыс.руб.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верхний предел муниципального долга внутригородского муниципального образования Санкт-Петербурга  муниципального округа Парнас на 1 января 2014 года в сумме 0,0 тыс.руб.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верхний предел обязательств по муниципальным гарантиям внутригородского муниципального образования Санкт-Петербурга  муниципального округа Парнас на 2014 г. в сумме  0,0 тыс.руб.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Учесть в местном бюджете внутригородского муниципального образования Санкт-Петербурга  муниципального округа Парнас доходы на 2014 г. согласно приложению №1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Учесть в местном бюджете внутригородского муниципального образования Санкт-Петербурга  муниципального округа Парнас доходы на 2015 – 2016 г. г. согласно приложению №2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классификации расходов бюджетов в ведомственной структуре расходов на 2014 г. согласно приложению №3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классификации расходов бюджетов в ведомственной структуре расходов на 2015 – 2016 гг. согласно приложению №4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источники финансирования дефицита местного бюджета  на 2014 г. согласно приложению № 5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Утвердить источники финансирования дефицита местного бюджета  на 2015 – 2016 гг. согласно приложению № 6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Утвердить перечень главных распорядителей средств местного бюджета местную администрацию внутригородского муниципального образования Санкт-Петербурга  муниципального округа Парнас согласно приложению № 7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Утвердить главным администратором  доходов местного бюджета местную администрацию внутригородского муниципального образования Санкт-Петербурга  муниципального округа Парнас согласно приложению № 7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муниципального образования Санкт-Петербурга  муниципального округа Парнас согласно приложению № 7 к настоящему решению.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0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>
      <w:pPr>
        <w:pStyle w:val="style24"/>
        <w:numPr>
          <w:ilvl w:val="0"/>
          <w:numId w:val="4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2014 г. в сумме 10606,0 тыс.руб.</w:t>
      </w:r>
    </w:p>
    <w:p>
      <w:pPr>
        <w:pStyle w:val="style24"/>
        <w:numPr>
          <w:ilvl w:val="0"/>
          <w:numId w:val="4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2015 г. 14688,2 тыс.руб.</w:t>
      </w:r>
    </w:p>
    <w:p>
      <w:pPr>
        <w:pStyle w:val="style24"/>
        <w:numPr>
          <w:ilvl w:val="0"/>
          <w:numId w:val="4"/>
        </w:numPr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на 2016 г. 15598,7 тыс.руб.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16. Учесть объем субвенций местному бюджету на исполнение отдельных государственных полномочий Санкт-Петербурга по организации и осуществлению деятельности по опеке и попечительству, назначение и выплате денежных средств на содержание детей, находящихся под опекой (попечительством) и детей, переданных на воспитание в приемные семьи на 2014 г.  в сумме 3014,8 тыс.руб.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17.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2014 г.  в сумме 7734,7 тыс.руб.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18. Учесть объем субвенций местному бюджету на исполнение отдельных государственных полномочий Санкт-Петербурга по оплате труда приемных родителей на 2014 г.  в сумме 2656,8 тыс.руб.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19.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2014 г.  в сумме 5,3 тыс.руб.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20. Местной администрации внутригородского муниципального образования Санкт-Петербурга 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Российской Федерации, и по иным основаниям, связанным с особенностями исполнения бюджета.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21. Назначить дату и время проведения публичных слушаний по проекту местного бюджета внутригородского муниципального образования Санкт-Петербурга  муниципального округа Парнас на 2014 год и плановый период 2015-2016 годов  на 29 ноября 2014 года в 10.00 в помещении муниципального совета по адресу: Санкт-Петербург, пр. Энгельса, д.131 к.1.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22. Опубликовать настоящее решение в средствах массовой информации.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23. Контроль исполнения настоящего решения возложить на главу внутригородского муниципального образования Санкт-Петербурга  муниципального округа Парнас.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Глава муниципального образования                                           А.В.Черезов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567" w:footer="0" w:gutter="0" w:header="0" w:left="1701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b w:val="false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  <w:b w:val="false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  <w:b w:val="false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  <w:b w:val="false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  <w:b w:val="false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  <w:b w:val="false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  <w:b w:val="false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  <w:b w:val="false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  <w:b w:val="false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  <w:b w:val="false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b w:val="false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2013-11-27T12:51:00.00Z</dcterms:created>
  <dc:creator>Oksana</dc:creator>
  <cp:lastModifiedBy>Oksana</cp:lastModifiedBy>
  <dcterms:modified xsi:type="dcterms:W3CDTF">2013-11-27T12:52:00.00Z</dcterms:modified>
  <cp:revision>1</cp:revision>
</cp:coreProperties>
</file>